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EEA5" w14:textId="77777777" w:rsidR="00FF6832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/>
          <w:sz w:val="40"/>
        </w:rPr>
        <w:t xml:space="preserve">Precyzyjna praca na każdym metrze </w:t>
      </w:r>
    </w:p>
    <w:p w14:paraId="709CEEA9" w14:textId="2753AFB1" w:rsidR="00D911C1" w:rsidRPr="00FF6832" w:rsidRDefault="00503B09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/>
          <w:sz w:val="40"/>
        </w:rPr>
        <w:t xml:space="preserve">TINECARE V MASTER od Pöttinger </w:t>
      </w:r>
    </w:p>
    <w:p w14:paraId="543F78D8" w14:textId="6FE770BB" w:rsidR="004B24E6" w:rsidRPr="00503B09" w:rsidRDefault="00CA5672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5672">
        <w:rPr>
          <w:rFonts w:ascii="Arial" w:hAnsi="Arial"/>
          <w:sz w:val="24"/>
        </w:rPr>
        <w:t>W nowoczesnej uprawie gleby s</w:t>
      </w:r>
      <w:r w:rsidR="00537809" w:rsidRPr="00CA5672">
        <w:rPr>
          <w:rFonts w:ascii="Arial" w:hAnsi="Arial"/>
          <w:sz w:val="24"/>
        </w:rPr>
        <w:t>kuteczna mechaniczna pielęgnacja</w:t>
      </w:r>
      <w:r w:rsidR="00537809">
        <w:rPr>
          <w:rFonts w:ascii="Arial" w:hAnsi="Arial"/>
          <w:sz w:val="24"/>
        </w:rPr>
        <w:t xml:space="preserve"> upraw jest uzależniona od wielu czynników. Ważną rolę w tym procesie odgrywają rodzaj rośliny uprawnej, warunki glebowe, pogodowe, zachwaszczenie, jak również </w:t>
      </w:r>
      <w:r w:rsidR="00537809" w:rsidRPr="00CA5672">
        <w:rPr>
          <w:rFonts w:ascii="Arial" w:hAnsi="Arial"/>
          <w:sz w:val="24"/>
        </w:rPr>
        <w:t>ustawienie</w:t>
      </w:r>
      <w:r w:rsidR="00537809">
        <w:rPr>
          <w:rFonts w:ascii="Arial" w:hAnsi="Arial"/>
          <w:sz w:val="24"/>
        </w:rPr>
        <w:t xml:space="preserve"> maszyny. Ustawienia brony TINECARE V 12200 MASTER o szerokości roboczej 12,20 m podlegają regulacjom, które pozwalają dostosować maszynę do pracy w różnych warunkach. Maszyna ta będzie dostępna na rynku w najbliższych miesiącach.</w:t>
      </w:r>
    </w:p>
    <w:p w14:paraId="0EEF1BD3" w14:textId="220BC838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4EF6117" w14:textId="5545FFF4" w:rsidR="005D2ACE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Możliwości ustawienia</w:t>
      </w:r>
    </w:p>
    <w:p w14:paraId="3479F42F" w14:textId="029D4B59" w:rsidR="004B24E6" w:rsidRPr="00503B09" w:rsidRDefault="004B24E6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Koła prowadzenia na głębokości </w:t>
      </w:r>
      <w:r w:rsidRPr="00CA5672">
        <w:rPr>
          <w:rFonts w:ascii="Arial" w:hAnsi="Arial"/>
          <w:sz w:val="24"/>
        </w:rPr>
        <w:t>i pozycja pływająca dolnych cięgieł</w:t>
      </w:r>
      <w:r>
        <w:rPr>
          <w:rFonts w:ascii="Arial" w:hAnsi="Arial"/>
          <w:sz w:val="24"/>
        </w:rPr>
        <w:t xml:space="preserve"> ciągnika zapewniają optymalne kopiowanie nierówności terenu. Hydrauliczna</w:t>
      </w:r>
      <w:r w:rsidRPr="00CA5672">
        <w:rPr>
          <w:rFonts w:ascii="Arial" w:hAnsi="Arial"/>
          <w:sz w:val="24"/>
        </w:rPr>
        <w:t>, bezstopniowa regulacja docisku zębów umożliwia precyzyjne dopasowani</w:t>
      </w:r>
      <w:r>
        <w:rPr>
          <w:rFonts w:ascii="Arial" w:hAnsi="Arial"/>
          <w:sz w:val="24"/>
        </w:rPr>
        <w:t>e metody pracy. Dodatkowo intensywność pracy zabiegu regulowana jest przez prędkość roboczą oraz kąt zagłębienia zębów w glebie.</w:t>
      </w:r>
    </w:p>
    <w:p w14:paraId="244AE420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5EC41AF4" w:rsidR="00FB2306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Układ stałego ciśnienia</w:t>
      </w:r>
    </w:p>
    <w:p w14:paraId="662EEBD6" w14:textId="17E914A1" w:rsidR="004B24E6" w:rsidRPr="00503B09" w:rsidRDefault="00932CA6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Brona TINECARE V 12200 MASTER posiada unikalny system sprężyn dociskowych. </w:t>
      </w:r>
      <w:r w:rsidRPr="00CA5672">
        <w:rPr>
          <w:rFonts w:ascii="Arial" w:hAnsi="Arial"/>
          <w:sz w:val="24"/>
        </w:rPr>
        <w:t>Wstępnie naprężone zęby zapobiegają wahaniom ciśnienia, a docisk zębów pozostaje taki sam na całej szerokości roboczej - niezależnie</w:t>
      </w:r>
      <w:r>
        <w:rPr>
          <w:rFonts w:ascii="Arial" w:hAnsi="Arial"/>
          <w:sz w:val="24"/>
        </w:rPr>
        <w:t xml:space="preserve"> od nierówności podłoża. System jest sterowany hydraulicznie i regulacja </w:t>
      </w:r>
      <w:r w:rsidRPr="00CA5672">
        <w:rPr>
          <w:rFonts w:ascii="Arial" w:hAnsi="Arial"/>
          <w:sz w:val="24"/>
        </w:rPr>
        <w:t>docisku zębów odbywa się płynnie z kabiny ciągnika w zakresie od 500 do 5 000 g. Tak</w:t>
      </w:r>
      <w:r>
        <w:rPr>
          <w:rFonts w:ascii="Arial" w:hAnsi="Arial"/>
          <w:sz w:val="24"/>
        </w:rPr>
        <w:t xml:space="preserve">i zakres ciśnienia pozwala na optymalne dostosowanie do każdych warunków pracy. Przy zróżnicowanych warunkach ciśnienie można zmieniać podczas jazdy. Zapewnia to możliwość łagodnego lub agresywnego odchwaszczania w zależności od </w:t>
      </w:r>
      <w:r w:rsidRPr="00CA5672">
        <w:rPr>
          <w:rFonts w:ascii="Arial" w:hAnsi="Arial"/>
          <w:sz w:val="24"/>
        </w:rPr>
        <w:t>stadium r</w:t>
      </w:r>
      <w:r>
        <w:rPr>
          <w:rFonts w:ascii="Arial" w:hAnsi="Arial"/>
          <w:sz w:val="24"/>
        </w:rPr>
        <w:t>ozwoju roślin.</w:t>
      </w:r>
    </w:p>
    <w:p w14:paraId="7035A94B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34CBEACB" w14:textId="681E5F29" w:rsidR="00051C90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Sposób działania i możliwości zastosowania</w:t>
      </w:r>
    </w:p>
    <w:p w14:paraId="6F88D870" w14:textId="16701707" w:rsidR="00932CA6" w:rsidRPr="00503B09" w:rsidRDefault="00932CA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Brona może być używana do całopowierzchniowej pracy w uprawie zbóż, w uprawach rzędowych, okopowych i w uprawach specjalnych. Rozstaw belek wielkości 330 mm, rozstaw śladu wynoszący 30 mm i </w:t>
      </w:r>
      <w:r w:rsidRPr="00CA5672">
        <w:rPr>
          <w:rFonts w:ascii="Arial" w:hAnsi="Arial"/>
          <w:sz w:val="24"/>
        </w:rPr>
        <w:t>dokładne, precyzyjne</w:t>
      </w:r>
      <w:r>
        <w:rPr>
          <w:rFonts w:ascii="Arial" w:hAnsi="Arial"/>
          <w:sz w:val="24"/>
        </w:rPr>
        <w:t xml:space="preserve"> prowadzenie zębów mają decydujące znaczenie dla powodzenia zabiegu.</w:t>
      </w:r>
    </w:p>
    <w:p w14:paraId="1173F60D" w14:textId="7D73C1C2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Celem jest przez zastosowanie brony o stałym nacisku uszkodzenie, wyrwanie lub przysypanie glebą chwastów, gdy są one jeszcze w początkowej fazie rozwoju. Dodatkowo w uprawach zbóż zastosowanie tej maszyny prowadzi do stymulowania wzrostu roślin. Dochodzi do kruszenia zaskorupionej gleby.</w:t>
      </w:r>
    </w:p>
    <w:p w14:paraId="75F9DBDB" w14:textId="77777777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4"/>
          <w:szCs w:val="24"/>
        </w:rPr>
      </w:pPr>
    </w:p>
    <w:p w14:paraId="7D58B071" w14:textId="462B4DE3" w:rsidR="005D2ACE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System szybkiej wymiany zębów</w:t>
      </w:r>
    </w:p>
    <w:p w14:paraId="324113DC" w14:textId="329D61A0" w:rsidR="004A6F02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CA5672">
        <w:rPr>
          <w:rFonts w:ascii="Arial" w:hAnsi="Arial"/>
          <w:sz w:val="24"/>
        </w:rPr>
        <w:t>Ten jedyny w swoim rodzaju</w:t>
      </w:r>
      <w:r>
        <w:rPr>
          <w:rFonts w:ascii="Arial" w:hAnsi="Arial"/>
          <w:sz w:val="24"/>
        </w:rPr>
        <w:t xml:space="preserve"> system szybkiej wymiany zębów zwiększa produktywność. </w:t>
      </w:r>
      <w:r w:rsidRPr="00CA5672">
        <w:rPr>
          <w:rFonts w:ascii="Arial" w:hAnsi="Arial"/>
          <w:sz w:val="24"/>
        </w:rPr>
        <w:t>Końcówka</w:t>
      </w:r>
      <w:r w:rsidR="004E3645" w:rsidRPr="00CA5672">
        <w:rPr>
          <w:rFonts w:ascii="Arial" w:hAnsi="Arial"/>
          <w:sz w:val="24"/>
        </w:rPr>
        <w:t xml:space="preserve"> </w:t>
      </w:r>
      <w:r w:rsidRPr="00CA5672">
        <w:rPr>
          <w:rFonts w:ascii="Arial" w:hAnsi="Arial"/>
          <w:sz w:val="24"/>
        </w:rPr>
        <w:t>zęba</w:t>
      </w:r>
      <w:r>
        <w:rPr>
          <w:rFonts w:ascii="Arial" w:hAnsi="Arial"/>
          <w:sz w:val="24"/>
        </w:rPr>
        <w:t xml:space="preserve"> jest przy tym prowadzona w uchwycie i przymocowana śrubą. Wymiana zębów trwa kilka sekund. Odbywa się poprzez </w:t>
      </w:r>
      <w:r w:rsidRPr="00CA5672">
        <w:rPr>
          <w:rFonts w:ascii="Arial" w:hAnsi="Arial"/>
          <w:sz w:val="24"/>
        </w:rPr>
        <w:t>odkręcenie mocowanej jednostronnie śruby i wyjęcie zęba. Nowy ząb jest wsuwany do prowadnicy i przykręcany.</w:t>
      </w:r>
    </w:p>
    <w:p w14:paraId="591D9BE7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8046780" w14:textId="55AC96AF" w:rsidR="008978F2" w:rsidRPr="00503B09" w:rsidRDefault="008978F2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Wysoka wydajność i elastyczność</w:t>
      </w:r>
    </w:p>
    <w:p w14:paraId="71282FFD" w14:textId="5AB714DC" w:rsidR="008978F2" w:rsidRPr="00503B09" w:rsidRDefault="008978F2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Dzięki 12,20 m szerokości roboczej TINECARE V 12200 MASTER zapewnia wysoką wydajność na hektar. Solidna rama zapobiega zwisaniu pól zębów na uwrociu oraz zapewnia wystarczającą przestrzeń do wykonania manewru nawracania.</w:t>
      </w:r>
      <w:r>
        <w:rPr>
          <w:rFonts w:ascii="Arial" w:hAnsi="Arial"/>
          <w:sz w:val="24"/>
        </w:rPr>
        <w:cr/>
      </w:r>
      <w:r>
        <w:rPr>
          <w:rFonts w:ascii="Arial" w:hAnsi="Arial"/>
          <w:sz w:val="24"/>
        </w:rPr>
        <w:br/>
        <w:t>Poniesienie maszyny odbywa się wyłącznie za pomocą dolnych cięgieł ciągnika. Dodatkowo dzięki ramie składanej w kilku częściach można zmniejszyć szerokość roboczą z 12,20 do 9,00 m. Pozwala to na bardziej elastyczną pracę i unikanie podwójnych przejazdów na uwrociu lub w klinach pola.</w:t>
      </w:r>
    </w:p>
    <w:p w14:paraId="59E651B1" w14:textId="2DC5F9AB" w:rsidR="008978F2" w:rsidRPr="00503B09" w:rsidRDefault="008978F2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17C2E99" w14:textId="77777777" w:rsidR="00C4294C" w:rsidRDefault="00C4294C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Podgląd zdjęć: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C4294C" w:rsidRPr="000333B1" w14:paraId="423BEECA" w14:textId="77777777" w:rsidTr="00B01894">
        <w:trPr>
          <w:trHeight w:val="1544"/>
        </w:trPr>
        <w:tc>
          <w:tcPr>
            <w:tcW w:w="4390" w:type="dxa"/>
          </w:tcPr>
          <w:p w14:paraId="541479C0" w14:textId="2EB9525E" w:rsidR="00C4294C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43254F" wp14:editId="74EE9392">
                  <wp:simplePos x="0" y="0"/>
                  <wp:positionH relativeFrom="column">
                    <wp:posOffset>754104</wp:posOffset>
                  </wp:positionH>
                  <wp:positionV relativeFrom="paragraph">
                    <wp:posOffset>105272</wp:posOffset>
                  </wp:positionV>
                  <wp:extent cx="1203352" cy="901793"/>
                  <wp:effectExtent l="0" t="0" r="0" b="0"/>
                  <wp:wrapNone/>
                  <wp:docPr id="12001239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2" cy="9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8F903F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0E9D7E08" w14:textId="2B840412" w:rsidR="00C4294C" w:rsidRDefault="000C61EC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44B6C3" wp14:editId="6548F07B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104002</wp:posOffset>
                  </wp:positionV>
                  <wp:extent cx="1299873" cy="868315"/>
                  <wp:effectExtent l="0" t="0" r="0" b="8255"/>
                  <wp:wrapNone/>
                  <wp:docPr id="18614762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73" cy="8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F595E9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58B7F3F8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BEA8CC6" w14:textId="77777777" w:rsidR="00AD5127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AF8B4C6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32790" w:rsidRPr="002E164C" w14:paraId="3652B209" w14:textId="77777777" w:rsidTr="00B01894">
        <w:trPr>
          <w:trHeight w:val="485"/>
        </w:trPr>
        <w:tc>
          <w:tcPr>
            <w:tcW w:w="4390" w:type="dxa"/>
          </w:tcPr>
          <w:p w14:paraId="10449394" w14:textId="6F7DB3CB" w:rsidR="00032790" w:rsidRPr="002E164C" w:rsidRDefault="00032790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TINECARE V 12200 MASTER zapewnia dużą wydajność pracy na hektar</w:t>
            </w:r>
          </w:p>
        </w:tc>
        <w:tc>
          <w:tcPr>
            <w:tcW w:w="3966" w:type="dxa"/>
          </w:tcPr>
          <w:p w14:paraId="31DE403A" w14:textId="73700472" w:rsidR="00032790" w:rsidRPr="002E164C" w:rsidRDefault="002E164C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TINECARE V 12200 MASTER charakteryzuje się efektywnością pracy</w:t>
            </w:r>
          </w:p>
        </w:tc>
      </w:tr>
      <w:tr w:rsidR="00032790" w:rsidRPr="00B401C0" w14:paraId="776436D4" w14:textId="77777777" w:rsidTr="00B01894">
        <w:trPr>
          <w:trHeight w:val="234"/>
        </w:trPr>
        <w:tc>
          <w:tcPr>
            <w:tcW w:w="4390" w:type="dxa"/>
          </w:tcPr>
          <w:p w14:paraId="73FE6A00" w14:textId="70BAE98A" w:rsidR="00032790" w:rsidRDefault="00CA5672" w:rsidP="00032790">
            <w:pPr>
              <w:jc w:val="center"/>
              <w:rPr>
                <w:rFonts w:ascii="Arial" w:eastAsia="Calibri" w:hAnsi="Arial" w:cs="Arial"/>
                <w:color w:val="FF0000"/>
              </w:rPr>
            </w:pPr>
            <w:hyperlink r:id="rId12" w:history="1">
              <w:r w:rsidR="00B22F89">
                <w:rPr>
                  <w:rStyle w:val="Hyperlink"/>
                  <w:rFonts w:ascii="Arial" w:hAnsi="Arial"/>
                </w:rPr>
                <w:t>https://www.poettinger.at/de_at/newsroom/pressebild/103012</w:t>
              </w:r>
            </w:hyperlink>
          </w:p>
          <w:p w14:paraId="1D84C941" w14:textId="1FE1C956" w:rsidR="00AD5127" w:rsidRPr="00B401C0" w:rsidRDefault="00AD5127" w:rsidP="00032790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6C2A8625" w14:textId="46D12B0A" w:rsidR="00032790" w:rsidRDefault="00CA5672" w:rsidP="00032790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B22F89">
                <w:rPr>
                  <w:rStyle w:val="Hyperlink"/>
                  <w:rFonts w:ascii="Arial" w:hAnsi="Arial"/>
                </w:rPr>
                <w:t>https://www.poettinger.at/de_at/newsroom/pressebild/103080</w:t>
              </w:r>
            </w:hyperlink>
          </w:p>
          <w:p w14:paraId="0A298F1E" w14:textId="2399B227" w:rsidR="00DC09D4" w:rsidRPr="00B401C0" w:rsidRDefault="00DC09D4" w:rsidP="000327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5A98676A" w14:textId="77777777" w:rsidR="00C4294C" w:rsidRPr="004E3645" w:rsidRDefault="00C4294C" w:rsidP="00C4294C"/>
    <w:p w14:paraId="3E456A1B" w14:textId="15054CED" w:rsidR="008978F2" w:rsidRPr="008200F3" w:rsidRDefault="00C4294C" w:rsidP="00820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lastRenderedPageBreak/>
        <w:t>Pozostałe zdjęcia w jakości do druku:</w:t>
      </w:r>
      <w:hyperlink r:id="rId14" w:history="1">
        <w:r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sectPr w:rsidR="008978F2" w:rsidRPr="008200F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6B42" w14:textId="77777777" w:rsidR="007872C4" w:rsidRDefault="007872C4" w:rsidP="00383C8F">
      <w:pPr>
        <w:spacing w:after="0" w:line="240" w:lineRule="auto"/>
      </w:pPr>
      <w:r>
        <w:separator/>
      </w:r>
    </w:p>
  </w:endnote>
  <w:endnote w:type="continuationSeparator" w:id="0">
    <w:p w14:paraId="1699FB0E" w14:textId="77777777" w:rsidR="007872C4" w:rsidRDefault="007872C4" w:rsidP="0038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314B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5B67727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352B613A" w14:textId="42B03B71" w:rsidR="00AF0321" w:rsidRPr="008B68AF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</w:rPr>
      <w:t>PÖTTINGER Polska Sp. z o.o.</w:t>
    </w:r>
  </w:p>
  <w:p w14:paraId="13691DFD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</w:rPr>
      <w:t xml:space="preserve">Edyta Tyrakowska, ul. Skawińska 22, 61-333 Poznań,  </w:t>
    </w:r>
  </w:p>
  <w:p w14:paraId="5C3DB03C" w14:textId="4C8B347B" w:rsidR="00AF0321" w:rsidRDefault="00AF0321" w:rsidP="00AF0321">
    <w:pPr>
      <w:spacing w:after="0" w:line="240" w:lineRule="auto"/>
    </w:pPr>
    <w:r>
      <w:rPr>
        <w:rFonts w:ascii="Arial" w:hAnsi="Arial"/>
        <w:sz w:val="18"/>
      </w:rPr>
      <w:t xml:space="preserve">Tel.: +48 603 770 957, E-Mail: </w:t>
    </w:r>
    <w:hyperlink r:id="rId1" w:history="1">
      <w:r>
        <w:rPr>
          <w:rFonts w:ascii="Arial" w:hAnsi="Arial"/>
          <w:sz w:val="18"/>
        </w:rPr>
        <w:t>edyta.tyrakowska@poettinger.at</w:t>
      </w:r>
    </w:hyperlink>
    <w:r>
      <w:rPr>
        <w:rFonts w:ascii="Arial" w:hAnsi="Arial"/>
        <w:sz w:val="18"/>
      </w:rPr>
      <w:t xml:space="preserve">, </w:t>
    </w:r>
    <w:hyperlink r:id="rId2" w:history="1">
      <w:r>
        <w:rPr>
          <w:rFonts w:ascii="Arial" w:hAnsi="Arial"/>
          <w:sz w:val="18"/>
        </w:rPr>
        <w:t>www.poettinger.at_pl</w:t>
      </w:r>
    </w:hyperlink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3BED" w14:textId="77777777" w:rsidR="007872C4" w:rsidRDefault="007872C4" w:rsidP="00383C8F">
      <w:pPr>
        <w:spacing w:after="0" w:line="240" w:lineRule="auto"/>
      </w:pPr>
      <w:r>
        <w:separator/>
      </w:r>
    </w:p>
  </w:footnote>
  <w:footnote w:type="continuationSeparator" w:id="0">
    <w:p w14:paraId="43DF6FB9" w14:textId="77777777" w:rsidR="007872C4" w:rsidRDefault="007872C4" w:rsidP="0038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733" w14:textId="77777777" w:rsidR="00503B09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</w:p>
  <w:p w14:paraId="1ED61461" w14:textId="78523FC0" w:rsidR="000C0A62" w:rsidRPr="008B68AF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07082DFB" wp14:editId="284BB11A">
          <wp:simplePos x="0" y="0"/>
          <wp:positionH relativeFrom="column">
            <wp:posOffset>3524250</wp:posOffset>
          </wp:positionH>
          <wp:positionV relativeFrom="paragraph">
            <wp:posOffset>-67310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>Informacja prasowa</w:t>
    </w:r>
    <w:r>
      <w:rPr>
        <w:rFonts w:ascii="Arial" w:hAnsi="Arial"/>
        <w:sz w:val="28"/>
      </w:rPr>
      <w:t xml:space="preserve">                                          </w:t>
    </w:r>
  </w:p>
  <w:p w14:paraId="3505872C" w14:textId="0457293F" w:rsidR="00383C8F" w:rsidRDefault="00383C8F" w:rsidP="000C0A62">
    <w:pPr>
      <w:pStyle w:val="Kopfzeile"/>
    </w:pPr>
  </w:p>
  <w:p w14:paraId="667B101B" w14:textId="77777777" w:rsidR="00503B09" w:rsidRPr="000C0A62" w:rsidRDefault="00503B09" w:rsidP="000C0A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40872">
    <w:abstractNumId w:val="1"/>
  </w:num>
  <w:num w:numId="2" w16cid:durableId="258299013">
    <w:abstractNumId w:val="0"/>
  </w:num>
  <w:num w:numId="3" w16cid:durableId="86706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32790"/>
    <w:rsid w:val="00051C90"/>
    <w:rsid w:val="000635D3"/>
    <w:rsid w:val="000C0A62"/>
    <w:rsid w:val="000C61EC"/>
    <w:rsid w:val="000C760A"/>
    <w:rsid w:val="001F380E"/>
    <w:rsid w:val="00234361"/>
    <w:rsid w:val="00244777"/>
    <w:rsid w:val="002D3384"/>
    <w:rsid w:val="002E164C"/>
    <w:rsid w:val="00364330"/>
    <w:rsid w:val="00367F32"/>
    <w:rsid w:val="00383C8F"/>
    <w:rsid w:val="003D2773"/>
    <w:rsid w:val="004026CA"/>
    <w:rsid w:val="00420050"/>
    <w:rsid w:val="00465215"/>
    <w:rsid w:val="00496ED0"/>
    <w:rsid w:val="004A3E16"/>
    <w:rsid w:val="004A6F02"/>
    <w:rsid w:val="004B24E6"/>
    <w:rsid w:val="004B6E1E"/>
    <w:rsid w:val="004C0610"/>
    <w:rsid w:val="004E3645"/>
    <w:rsid w:val="00503030"/>
    <w:rsid w:val="00503B09"/>
    <w:rsid w:val="0052173B"/>
    <w:rsid w:val="00533AB7"/>
    <w:rsid w:val="00537809"/>
    <w:rsid w:val="00542BD9"/>
    <w:rsid w:val="005D2ACE"/>
    <w:rsid w:val="00614327"/>
    <w:rsid w:val="00622EEF"/>
    <w:rsid w:val="006B7288"/>
    <w:rsid w:val="00707EBA"/>
    <w:rsid w:val="00742B10"/>
    <w:rsid w:val="00763D17"/>
    <w:rsid w:val="00780B92"/>
    <w:rsid w:val="007872C4"/>
    <w:rsid w:val="007D265A"/>
    <w:rsid w:val="008200F3"/>
    <w:rsid w:val="008978F2"/>
    <w:rsid w:val="008C2731"/>
    <w:rsid w:val="008C7810"/>
    <w:rsid w:val="00930673"/>
    <w:rsid w:val="00932CA6"/>
    <w:rsid w:val="00984FE0"/>
    <w:rsid w:val="00A90BE0"/>
    <w:rsid w:val="00AA51CF"/>
    <w:rsid w:val="00AD5127"/>
    <w:rsid w:val="00AF0321"/>
    <w:rsid w:val="00B22F89"/>
    <w:rsid w:val="00B472D9"/>
    <w:rsid w:val="00C046A4"/>
    <w:rsid w:val="00C4294C"/>
    <w:rsid w:val="00CA5672"/>
    <w:rsid w:val="00CD5109"/>
    <w:rsid w:val="00D0444C"/>
    <w:rsid w:val="00D047F7"/>
    <w:rsid w:val="00D37433"/>
    <w:rsid w:val="00D5495E"/>
    <w:rsid w:val="00D911C1"/>
    <w:rsid w:val="00DA5A20"/>
    <w:rsid w:val="00DC09D4"/>
    <w:rsid w:val="00E72CF2"/>
    <w:rsid w:val="00F11C09"/>
    <w:rsid w:val="00F91ED3"/>
    <w:rsid w:val="00FB230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C8F"/>
  </w:style>
  <w:style w:type="paragraph" w:styleId="Fuzeile">
    <w:name w:val="footer"/>
    <w:basedOn w:val="Standard"/>
    <w:link w:val="FuzeileZchn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C8F"/>
  </w:style>
  <w:style w:type="table" w:styleId="Tabellenraster">
    <w:name w:val="Table Grid"/>
    <w:basedOn w:val="NormaleTabelle"/>
    <w:uiPriority w:val="39"/>
    <w:rsid w:val="00C4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4294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1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30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30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45AD9-4BDE-4320-8588-8CB3E097F3C6}">
  <ds:schemaRefs>
    <ds:schemaRef ds:uri="http://purl.org/dc/terms/"/>
    <ds:schemaRef ds:uri="0c9fabd4-836a-42ce-ab3b-240b75e507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a3695f-fc9d-43a0-9b89-e443cfa54e9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A36C2-6308-4349-BA35-7BBA8C94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31F30-A397-4D30-816E-FFAA1B596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TINECARE V 12200 MASTER</vt:lpstr>
    </vt:vector>
  </TitlesOfParts>
  <Company>PÖTTINGER Landtechnik GmbH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TINECARE V 12200 MASTER</dc:title>
  <dc:subject/>
  <dc:creator>Ammon Felix</dc:creator>
  <cp:keywords/>
  <dc:description/>
  <cp:lastModifiedBy>Tyrakowska Edyta</cp:lastModifiedBy>
  <cp:revision>3</cp:revision>
  <dcterms:created xsi:type="dcterms:W3CDTF">2023-08-17T09:23:00Z</dcterms:created>
  <dcterms:modified xsi:type="dcterms:W3CDTF">2023-09-06T07:57:00Z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